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21A02" w14:textId="77777777" w:rsidR="00BE3B5B" w:rsidRDefault="00BE3B5B" w:rsidP="00BE3B5B">
      <w:pPr>
        <w:pStyle w:val="p1"/>
        <w:jc w:val="both"/>
        <w:rPr>
          <w:rFonts w:ascii="Arial" w:hAnsi="Arial" w:cs="Arial"/>
          <w:b/>
        </w:rPr>
      </w:pPr>
    </w:p>
    <w:p w14:paraId="688FD738" w14:textId="76135673" w:rsidR="007838BF" w:rsidRDefault="00A87903" w:rsidP="00BE3B5B">
      <w:pPr>
        <w:pStyle w:val="p1"/>
        <w:jc w:val="both"/>
        <w:rPr>
          <w:rFonts w:ascii="Arial" w:hAnsi="Arial" w:cs="Arial"/>
          <w:b/>
        </w:rPr>
      </w:pPr>
      <w:r w:rsidRPr="00BE3B5B">
        <w:rPr>
          <w:rFonts w:ascii="Arial" w:hAnsi="Arial" w:cs="Arial"/>
          <w:b/>
        </w:rPr>
        <w:t xml:space="preserve">Welkom </w:t>
      </w:r>
      <w:proofErr w:type="spellStart"/>
      <w:r w:rsidRPr="00BE3B5B">
        <w:rPr>
          <w:rFonts w:ascii="Arial" w:hAnsi="Arial" w:cs="Arial"/>
          <w:b/>
        </w:rPr>
        <w:t>Yizani</w:t>
      </w:r>
      <w:proofErr w:type="spellEnd"/>
      <w:r w:rsidR="007838BF" w:rsidRPr="00BE3B5B">
        <w:rPr>
          <w:rFonts w:ascii="Arial" w:hAnsi="Arial" w:cs="Arial"/>
          <w:b/>
        </w:rPr>
        <w:t xml:space="preserve"> Investments (RF) Limited</w:t>
      </w:r>
      <w:r w:rsidR="00BE3B5B">
        <w:rPr>
          <w:rFonts w:ascii="Arial" w:hAnsi="Arial" w:cs="Arial"/>
          <w:b/>
        </w:rPr>
        <w:tab/>
      </w:r>
      <w:r w:rsidR="00BE3B5B">
        <w:rPr>
          <w:rFonts w:ascii="Arial" w:hAnsi="Arial" w:cs="Arial"/>
          <w:b/>
        </w:rPr>
        <w:tab/>
      </w:r>
      <w:r w:rsidR="00BE3B5B">
        <w:rPr>
          <w:rFonts w:ascii="Arial" w:hAnsi="Arial" w:cs="Arial"/>
          <w:b/>
        </w:rPr>
        <w:tab/>
      </w:r>
      <w:r w:rsidR="00BE3B5B">
        <w:rPr>
          <w:rFonts w:ascii="Arial" w:hAnsi="Arial" w:cs="Arial"/>
          <w:b/>
        </w:rPr>
        <w:tab/>
      </w:r>
      <w:r w:rsidR="00BE3B5B">
        <w:rPr>
          <w:rFonts w:ascii="Arial" w:hAnsi="Arial" w:cs="Arial"/>
          <w:b/>
        </w:rPr>
        <w:tab/>
      </w:r>
      <w:r w:rsidR="00BE3B5B" w:rsidRPr="00BE3B5B">
        <w:rPr>
          <w:rFonts w:ascii="Arial" w:hAnsi="Arial" w:cs="Arial"/>
          <w:b/>
          <w:sz w:val="20"/>
          <w:szCs w:val="20"/>
        </w:rPr>
        <w:t>Annexure 2</w:t>
      </w:r>
    </w:p>
    <w:p w14:paraId="3F125B37" w14:textId="77777777" w:rsidR="00BE3B5B" w:rsidRPr="00BE3B5B" w:rsidRDefault="00BE3B5B" w:rsidP="00BE3B5B">
      <w:pPr>
        <w:pStyle w:val="p1"/>
        <w:jc w:val="both"/>
        <w:rPr>
          <w:rFonts w:ascii="Arial" w:hAnsi="Arial" w:cs="Arial"/>
          <w:b/>
        </w:rPr>
      </w:pPr>
    </w:p>
    <w:p w14:paraId="714068C4" w14:textId="77777777" w:rsidR="007838BF" w:rsidRPr="00BE3B5B" w:rsidRDefault="007838BF" w:rsidP="00BE3B5B">
      <w:pPr>
        <w:pStyle w:val="p1"/>
        <w:jc w:val="both"/>
        <w:rPr>
          <w:rFonts w:ascii="Arial" w:hAnsi="Arial" w:cs="Arial"/>
          <w:b/>
        </w:rPr>
      </w:pPr>
      <w:r w:rsidRPr="00BE3B5B">
        <w:rPr>
          <w:rFonts w:ascii="Arial" w:hAnsi="Arial" w:cs="Arial"/>
          <w:b/>
        </w:rPr>
        <w:t>Structure, operations and governance framework</w:t>
      </w:r>
    </w:p>
    <w:p w14:paraId="6D8C4C49" w14:textId="77777777" w:rsidR="00BE3B5B" w:rsidRDefault="00BE3B5B" w:rsidP="00BE3B5B">
      <w:pPr>
        <w:pStyle w:val="p1"/>
        <w:jc w:val="both"/>
        <w:rPr>
          <w:rFonts w:ascii="Arial" w:hAnsi="Arial" w:cs="Arial"/>
        </w:rPr>
      </w:pPr>
    </w:p>
    <w:p w14:paraId="06D8A4F6" w14:textId="77777777" w:rsidR="00BE3B5B" w:rsidRPr="00BE3B5B" w:rsidRDefault="00BE3B5B" w:rsidP="00BE3B5B">
      <w:pPr>
        <w:pStyle w:val="p1"/>
        <w:jc w:val="both"/>
        <w:rPr>
          <w:rFonts w:ascii="Arial" w:hAnsi="Arial" w:cs="Arial"/>
        </w:rPr>
      </w:pPr>
    </w:p>
    <w:p w14:paraId="409935FE" w14:textId="7A6FC58A" w:rsidR="00A87903" w:rsidRPr="00BE3B5B" w:rsidRDefault="00A87903" w:rsidP="00BE3B5B">
      <w:pPr>
        <w:pStyle w:val="p1"/>
        <w:jc w:val="center"/>
        <w:rPr>
          <w:rFonts w:ascii="Arial" w:hAnsi="Arial" w:cs="Arial"/>
        </w:rPr>
      </w:pPr>
      <w:r w:rsidRPr="00BE3B5B">
        <w:rPr>
          <w:rFonts w:ascii="Arial" w:hAnsi="Arial" w:cs="Arial"/>
        </w:rPr>
        <w:t xml:space="preserve">Welkom </w:t>
      </w:r>
      <w:proofErr w:type="spellStart"/>
      <w:r w:rsidRPr="00BE3B5B">
        <w:rPr>
          <w:rFonts w:ascii="Arial" w:hAnsi="Arial" w:cs="Arial"/>
        </w:rPr>
        <w:t>Yizani</w:t>
      </w:r>
      <w:proofErr w:type="spellEnd"/>
      <w:r w:rsidRPr="00BE3B5B">
        <w:rPr>
          <w:rFonts w:ascii="Arial" w:hAnsi="Arial" w:cs="Arial"/>
        </w:rPr>
        <w:t xml:space="preserve"> Board</w:t>
      </w:r>
    </w:p>
    <w:p w14:paraId="00AC1584" w14:textId="2CFA35BF" w:rsidR="00A87903" w:rsidRPr="00BE3B5B" w:rsidRDefault="00BE3B5B" w:rsidP="00BE3B5B">
      <w:pPr>
        <w:pStyle w:val="p1"/>
        <w:jc w:val="both"/>
        <w:rPr>
          <w:rFonts w:ascii="Arial" w:hAnsi="Arial" w:cs="Arial"/>
        </w:rPr>
      </w:pPr>
      <w:r w:rsidRPr="00BE3B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BDEC1" wp14:editId="3A9FE77B">
                <wp:simplePos x="0" y="0"/>
                <wp:positionH relativeFrom="column">
                  <wp:posOffset>2913380</wp:posOffset>
                </wp:positionH>
                <wp:positionV relativeFrom="paragraph">
                  <wp:posOffset>84455</wp:posOffset>
                </wp:positionV>
                <wp:extent cx="113665" cy="342265"/>
                <wp:effectExtent l="25400" t="0" r="38735" b="38735"/>
                <wp:wrapThrough wrapText="bothSides">
                  <wp:wrapPolygon edited="0">
                    <wp:start x="-4827" y="0"/>
                    <wp:lineTo x="-4827" y="22442"/>
                    <wp:lineTo x="24134" y="22442"/>
                    <wp:lineTo x="24134" y="0"/>
                    <wp:lineTo x="-4827" y="0"/>
                  </wp:wrapPolygon>
                </wp:wrapThrough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342265"/>
                        </a:xfrm>
                        <a:prstGeom prst="downArrow">
                          <a:avLst>
                            <a:gd name="adj1" fmla="val 50000"/>
                            <a:gd name="adj2" fmla="val 474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BE1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9.4pt;margin-top:6.65pt;width:8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" adj="18194" fillcolor="#4472c4 [3204]" strokecolor="#1f3763 [1604]" strokeweight="1pt">
                <w10:wrap type="through"/>
              </v:shape>
            </w:pict>
          </mc:Fallback>
        </mc:AlternateContent>
      </w:r>
    </w:p>
    <w:p w14:paraId="46B58DBA" w14:textId="7FF6E9E2" w:rsidR="00A87903" w:rsidRPr="00BE3B5B" w:rsidRDefault="00A87903" w:rsidP="00BE3B5B">
      <w:pPr>
        <w:pStyle w:val="p1"/>
        <w:jc w:val="both"/>
        <w:rPr>
          <w:rFonts w:ascii="Arial" w:hAnsi="Arial" w:cs="Arial"/>
        </w:rPr>
      </w:pPr>
      <w:bookmarkStart w:id="0" w:name="_GoBack"/>
      <w:bookmarkEnd w:id="0"/>
    </w:p>
    <w:p w14:paraId="3A1FD0D6" w14:textId="77777777" w:rsidR="00BE3B5B" w:rsidRPr="00BE3B5B" w:rsidRDefault="00BE3B5B" w:rsidP="00BE3B5B">
      <w:pPr>
        <w:pStyle w:val="p1"/>
        <w:jc w:val="center"/>
        <w:rPr>
          <w:rFonts w:ascii="Arial" w:hAnsi="Arial" w:cs="Arial"/>
        </w:rPr>
      </w:pPr>
    </w:p>
    <w:p w14:paraId="3E0AFDCD" w14:textId="60C48901" w:rsidR="00A87903" w:rsidRPr="00BE3B5B" w:rsidRDefault="00BE3B5B" w:rsidP="00BE3B5B">
      <w:pPr>
        <w:pStyle w:val="p1"/>
        <w:jc w:val="center"/>
        <w:rPr>
          <w:rFonts w:ascii="Arial" w:hAnsi="Arial" w:cs="Arial"/>
        </w:rPr>
      </w:pPr>
      <w:r w:rsidRPr="00BE3B5B">
        <w:rPr>
          <w:rFonts w:ascii="Arial" w:hAnsi="Arial" w:cs="Arial"/>
        </w:rPr>
        <w:t>Audit committee</w:t>
      </w:r>
    </w:p>
    <w:p w14:paraId="5EE87B07" w14:textId="796EDD3E" w:rsidR="00BE3B5B" w:rsidRPr="00BE3B5B" w:rsidRDefault="00BE3B5B" w:rsidP="00BE3B5B">
      <w:pPr>
        <w:pStyle w:val="p1"/>
        <w:jc w:val="center"/>
        <w:rPr>
          <w:rFonts w:ascii="Arial" w:hAnsi="Arial" w:cs="Arial"/>
          <w:b/>
        </w:rPr>
      </w:pPr>
    </w:p>
    <w:p w14:paraId="46B76429" w14:textId="6206A7BE" w:rsidR="00A87903" w:rsidRPr="00BE3B5B" w:rsidRDefault="00A87903" w:rsidP="00BE3B5B">
      <w:pPr>
        <w:pStyle w:val="p1"/>
        <w:jc w:val="both"/>
        <w:rPr>
          <w:rFonts w:ascii="Arial" w:hAnsi="Arial" w:cs="Arial"/>
        </w:rPr>
      </w:pPr>
    </w:p>
    <w:p w14:paraId="35DF9B70" w14:textId="59DB1313" w:rsidR="007838BF" w:rsidRDefault="007838BF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The board of directors are comprised of </w:t>
      </w:r>
      <w:r w:rsidR="00BE3B5B" w:rsidRPr="00BE3B5B">
        <w:rPr>
          <w:rFonts w:ascii="Arial" w:hAnsi="Arial" w:cs="Arial"/>
          <w:sz w:val="24"/>
          <w:szCs w:val="24"/>
        </w:rPr>
        <w:t>four</w:t>
      </w:r>
      <w:r w:rsidRPr="00BE3B5B">
        <w:rPr>
          <w:rFonts w:ascii="Arial" w:hAnsi="Arial" w:cs="Arial"/>
          <w:sz w:val="24"/>
          <w:szCs w:val="24"/>
        </w:rPr>
        <w:t xml:space="preserve"> independent non-executive directors. As the company’s only assets are</w:t>
      </w:r>
      <w:r w:rsidR="00BE3B5B">
        <w:rPr>
          <w:rFonts w:ascii="Arial" w:hAnsi="Arial" w:cs="Arial"/>
          <w:sz w:val="24"/>
          <w:szCs w:val="24"/>
        </w:rPr>
        <w:t xml:space="preserve"> the investment</w:t>
      </w:r>
      <w:r w:rsidRPr="00BE3B5B">
        <w:rPr>
          <w:rFonts w:ascii="Arial" w:hAnsi="Arial" w:cs="Arial"/>
          <w:sz w:val="24"/>
          <w:szCs w:val="24"/>
        </w:rPr>
        <w:t xml:space="preserve"> in </w:t>
      </w:r>
      <w:r w:rsidR="00BE3B5B">
        <w:rPr>
          <w:rFonts w:ascii="Arial" w:hAnsi="Arial" w:cs="Arial"/>
          <w:sz w:val="24"/>
          <w:szCs w:val="24"/>
        </w:rPr>
        <w:t>Media24</w:t>
      </w:r>
      <w:r w:rsidRPr="00BE3B5B">
        <w:rPr>
          <w:rFonts w:ascii="Arial" w:hAnsi="Arial" w:cs="Arial"/>
          <w:sz w:val="24"/>
          <w:szCs w:val="24"/>
        </w:rPr>
        <w:t xml:space="preserve"> Holdings Proprietary Limited, the board deems it appropriate that all its</w:t>
      </w:r>
      <w:r w:rsidR="00BE3B5B">
        <w:rPr>
          <w:rFonts w:ascii="Arial" w:hAnsi="Arial" w:cs="Arial"/>
          <w:sz w:val="24"/>
          <w:szCs w:val="24"/>
        </w:rPr>
        <w:t xml:space="preserve"> </w:t>
      </w:r>
      <w:r w:rsidRPr="00BE3B5B">
        <w:rPr>
          <w:rFonts w:ascii="Arial" w:hAnsi="Arial" w:cs="Arial"/>
          <w:sz w:val="24"/>
          <w:szCs w:val="24"/>
        </w:rPr>
        <w:t>members be appointed to the audit committee.</w:t>
      </w:r>
    </w:p>
    <w:p w14:paraId="6A480D40" w14:textId="77777777" w:rsidR="00BE3B5B" w:rsidRP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5E5AD79A" w14:textId="77777777" w:rsidR="007838BF" w:rsidRDefault="007838BF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  <w:r w:rsidRPr="00BE3B5B">
        <w:rPr>
          <w:rFonts w:ascii="Arial" w:hAnsi="Arial" w:cs="Arial"/>
          <w:b/>
          <w:sz w:val="24"/>
          <w:szCs w:val="24"/>
        </w:rPr>
        <w:t>Functions of the audit committee</w:t>
      </w:r>
    </w:p>
    <w:p w14:paraId="693135A0" w14:textId="77777777" w:rsidR="00BE3B5B" w:rsidRPr="00BE3B5B" w:rsidRDefault="00BE3B5B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</w:p>
    <w:p w14:paraId="5E0E0676" w14:textId="77777777" w:rsidR="007838BF" w:rsidRDefault="007838BF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>The committee has discharged the following functions:</w:t>
      </w:r>
    </w:p>
    <w:p w14:paraId="1FE3321D" w14:textId="77777777" w:rsidR="00BE3B5B" w:rsidRP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5B1ABCB3" w14:textId="43A0CC67" w:rsidR="007838BF" w:rsidRPr="00BE3B5B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</w:r>
      <w:r w:rsidRPr="00BE3B5B">
        <w:rPr>
          <w:rFonts w:ascii="Arial" w:hAnsi="Arial" w:cs="Arial"/>
          <w:sz w:val="24"/>
          <w:szCs w:val="24"/>
        </w:rPr>
        <w:t>Review the year-end financial statements, culminating in a recommendation to the board to adopt these.</w:t>
      </w:r>
    </w:p>
    <w:p w14:paraId="2BC60515" w14:textId="0ACE5B5F" w:rsidR="007838BF" w:rsidRPr="00BE3B5B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</w:r>
      <w:r w:rsidRPr="00BE3B5B">
        <w:rPr>
          <w:rFonts w:ascii="Arial" w:hAnsi="Arial" w:cs="Arial"/>
          <w:sz w:val="24"/>
          <w:szCs w:val="24"/>
        </w:rPr>
        <w:t>Review external audit reports on the annual financial statements.</w:t>
      </w:r>
    </w:p>
    <w:p w14:paraId="1778455C" w14:textId="28D7774E" w:rsidR="007838BF" w:rsidRPr="00BE3B5B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  <w:t>Verify</w:t>
      </w:r>
      <w:r w:rsidRPr="00BE3B5B">
        <w:rPr>
          <w:rFonts w:ascii="Arial" w:hAnsi="Arial" w:cs="Arial"/>
          <w:sz w:val="24"/>
          <w:szCs w:val="24"/>
        </w:rPr>
        <w:t xml:space="preserve"> the independence of the external auditor and nominate the external auditor for the relevant financial year</w:t>
      </w:r>
      <w:r w:rsidR="00BE3B5B">
        <w:rPr>
          <w:rFonts w:ascii="Arial" w:hAnsi="Arial" w:cs="Arial"/>
          <w:sz w:val="24"/>
          <w:szCs w:val="24"/>
        </w:rPr>
        <w:t xml:space="preserve"> </w:t>
      </w:r>
      <w:r w:rsidRPr="00BE3B5B">
        <w:rPr>
          <w:rFonts w:ascii="Arial" w:hAnsi="Arial" w:cs="Arial"/>
          <w:sz w:val="24"/>
          <w:szCs w:val="24"/>
        </w:rPr>
        <w:t>and note the appointment of the designated auditor.</w:t>
      </w:r>
    </w:p>
    <w:p w14:paraId="7C0998FC" w14:textId="0BE37AE0" w:rsidR="007838BF" w:rsidRPr="00BE3B5B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</w:r>
      <w:r w:rsidRPr="00BE3B5B">
        <w:rPr>
          <w:rFonts w:ascii="Arial" w:hAnsi="Arial" w:cs="Arial"/>
          <w:sz w:val="24"/>
          <w:szCs w:val="24"/>
        </w:rPr>
        <w:t>Approve audit fees and engagement terms of the external auditor.</w:t>
      </w:r>
    </w:p>
    <w:p w14:paraId="6A064718" w14:textId="77777777" w:rsidR="00BE3B5B" w:rsidRDefault="00BE3B5B" w:rsidP="00BE3B5B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173EEF17" w14:textId="77777777" w:rsidR="007838BF" w:rsidRDefault="007838BF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  <w:r w:rsidRPr="00BE3B5B">
        <w:rPr>
          <w:rFonts w:ascii="Arial" w:hAnsi="Arial" w:cs="Arial"/>
          <w:b/>
          <w:sz w:val="24"/>
          <w:szCs w:val="24"/>
        </w:rPr>
        <w:t>Nature of operations</w:t>
      </w:r>
    </w:p>
    <w:p w14:paraId="6D08AFF8" w14:textId="77777777" w:rsidR="00BE3B5B" w:rsidRPr="00BE3B5B" w:rsidRDefault="00BE3B5B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</w:p>
    <w:p w14:paraId="6466FC6D" w14:textId="4C2173F8" w:rsidR="007838BF" w:rsidRP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Welkom </w:t>
      </w:r>
      <w:proofErr w:type="spellStart"/>
      <w:r>
        <w:rPr>
          <w:rFonts w:ascii="Arial" w:hAnsi="Arial" w:cs="Arial"/>
          <w:sz w:val="24"/>
          <w:szCs w:val="24"/>
        </w:rPr>
        <w:t>Yizani</w:t>
      </w:r>
      <w:proofErr w:type="spellEnd"/>
      <w:r w:rsidR="007838BF" w:rsidRPr="00BE3B5B">
        <w:rPr>
          <w:rFonts w:ascii="Arial" w:hAnsi="Arial" w:cs="Arial"/>
          <w:sz w:val="24"/>
          <w:szCs w:val="24"/>
        </w:rPr>
        <w:t xml:space="preserve"> Investments (RF) Limited was incorporated on under the laws of the Republic of South Africa.</w:t>
      </w:r>
    </w:p>
    <w:p w14:paraId="3A6AC367" w14:textId="77777777" w:rsid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5DEECED7" w14:textId="77777777" w:rsidR="007838BF" w:rsidRPr="00BE3B5B" w:rsidRDefault="007838BF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>Its principal activities are to:</w:t>
      </w:r>
    </w:p>
    <w:p w14:paraId="41CB894E" w14:textId="15C84D1F" w:rsidR="007838BF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</w:r>
      <w:r w:rsidRPr="00BE3B5B">
        <w:rPr>
          <w:rFonts w:ascii="Arial" w:hAnsi="Arial" w:cs="Arial"/>
          <w:sz w:val="24"/>
          <w:szCs w:val="24"/>
        </w:rPr>
        <w:t xml:space="preserve">carry on the main business of holding only </w:t>
      </w:r>
      <w:r w:rsidR="00BE3B5B">
        <w:rPr>
          <w:rFonts w:ascii="Arial" w:hAnsi="Arial" w:cs="Arial"/>
          <w:sz w:val="24"/>
          <w:szCs w:val="24"/>
        </w:rPr>
        <w:t>Media24</w:t>
      </w:r>
      <w:r w:rsidRPr="00BE3B5B">
        <w:rPr>
          <w:rFonts w:ascii="Arial" w:hAnsi="Arial" w:cs="Arial"/>
          <w:sz w:val="24"/>
          <w:szCs w:val="24"/>
        </w:rPr>
        <w:t xml:space="preserve"> Holdings Proprietary Limited ordinary</w:t>
      </w:r>
      <w:r w:rsidR="00BE3B5B">
        <w:rPr>
          <w:rFonts w:ascii="Arial" w:hAnsi="Arial" w:cs="Arial"/>
          <w:sz w:val="24"/>
          <w:szCs w:val="24"/>
        </w:rPr>
        <w:t xml:space="preserve"> </w:t>
      </w:r>
      <w:r w:rsidRPr="00BE3B5B">
        <w:rPr>
          <w:rFonts w:ascii="Arial" w:hAnsi="Arial" w:cs="Arial"/>
          <w:sz w:val="24"/>
          <w:szCs w:val="24"/>
        </w:rPr>
        <w:t xml:space="preserve">shares, cash and such assets as are received and acquired solely </w:t>
      </w:r>
      <w:proofErr w:type="gramStart"/>
      <w:r w:rsidRPr="00BE3B5B">
        <w:rPr>
          <w:rFonts w:ascii="Arial" w:hAnsi="Arial" w:cs="Arial"/>
          <w:sz w:val="24"/>
          <w:szCs w:val="24"/>
        </w:rPr>
        <w:t>by virtue of</w:t>
      </w:r>
      <w:proofErr w:type="gramEnd"/>
      <w:r w:rsidRPr="00BE3B5B">
        <w:rPr>
          <w:rFonts w:ascii="Arial" w:hAnsi="Arial" w:cs="Arial"/>
          <w:sz w:val="24"/>
          <w:szCs w:val="24"/>
        </w:rPr>
        <w:t xml:space="preserve"> or in relation to holding these</w:t>
      </w:r>
      <w:r w:rsidR="00BE3B5B">
        <w:rPr>
          <w:rFonts w:ascii="Arial" w:hAnsi="Arial" w:cs="Arial"/>
          <w:sz w:val="24"/>
          <w:szCs w:val="24"/>
        </w:rPr>
        <w:t xml:space="preserve"> </w:t>
      </w:r>
      <w:r w:rsidRPr="00BE3B5B">
        <w:rPr>
          <w:rFonts w:ascii="Arial" w:hAnsi="Arial" w:cs="Arial"/>
          <w:sz w:val="24"/>
          <w:szCs w:val="24"/>
        </w:rPr>
        <w:t>shares; and</w:t>
      </w:r>
    </w:p>
    <w:p w14:paraId="75A8A308" w14:textId="77777777" w:rsidR="00BE3B5B" w:rsidRPr="00BE3B5B" w:rsidRDefault="00BE3B5B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A9E4C55" w14:textId="40436C90" w:rsidR="007838BF" w:rsidRPr="00BE3B5B" w:rsidRDefault="007838BF" w:rsidP="00BE3B5B">
      <w:pPr>
        <w:pStyle w:val="p4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 xml:space="preserve">• </w:t>
      </w:r>
      <w:r w:rsidR="00BE3B5B">
        <w:rPr>
          <w:rFonts w:ascii="Arial" w:hAnsi="Arial" w:cs="Arial"/>
          <w:sz w:val="24"/>
          <w:szCs w:val="24"/>
        </w:rPr>
        <w:tab/>
      </w:r>
      <w:r w:rsidRPr="00BE3B5B">
        <w:rPr>
          <w:rFonts w:ascii="Arial" w:hAnsi="Arial" w:cs="Arial"/>
          <w:sz w:val="24"/>
          <w:szCs w:val="24"/>
        </w:rPr>
        <w:t xml:space="preserve">receive and distribute dividends and other distributions in terms of its holding in </w:t>
      </w:r>
      <w:r w:rsidR="00BE3B5B">
        <w:rPr>
          <w:rFonts w:ascii="Arial" w:hAnsi="Arial" w:cs="Arial"/>
          <w:sz w:val="24"/>
          <w:szCs w:val="24"/>
        </w:rPr>
        <w:t xml:space="preserve">Media24 </w:t>
      </w:r>
      <w:r w:rsidRPr="00BE3B5B">
        <w:rPr>
          <w:rFonts w:ascii="Arial" w:hAnsi="Arial" w:cs="Arial"/>
          <w:sz w:val="24"/>
          <w:szCs w:val="24"/>
        </w:rPr>
        <w:t>Holdings Proprietary Limited.</w:t>
      </w:r>
    </w:p>
    <w:p w14:paraId="125B988A" w14:textId="77777777" w:rsidR="00BE3B5B" w:rsidRDefault="00BE3B5B" w:rsidP="00BE3B5B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61835820" w14:textId="77777777" w:rsidR="00BE3B5B" w:rsidRDefault="00BE3B5B" w:rsidP="00BE3B5B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65E32813" w14:textId="77777777" w:rsidR="007838BF" w:rsidRPr="00BE3B5B" w:rsidRDefault="007838BF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  <w:r w:rsidRPr="00BE3B5B">
        <w:rPr>
          <w:rFonts w:ascii="Arial" w:hAnsi="Arial" w:cs="Arial"/>
          <w:b/>
          <w:sz w:val="24"/>
          <w:szCs w:val="24"/>
        </w:rPr>
        <w:t>Company Secretary</w:t>
      </w:r>
    </w:p>
    <w:p w14:paraId="568560E1" w14:textId="7A3AE2E8" w:rsidR="007838BF" w:rsidRP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Lurica Klink </w:t>
      </w:r>
    </w:p>
    <w:p w14:paraId="5AEF0FE3" w14:textId="77777777" w:rsidR="00BE3B5B" w:rsidRDefault="00BE3B5B" w:rsidP="00BE3B5B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55E27ADE" w14:textId="77777777" w:rsidR="007838BF" w:rsidRPr="00BE3B5B" w:rsidRDefault="007838BF" w:rsidP="00BE3B5B">
      <w:pPr>
        <w:pStyle w:val="p3"/>
        <w:jc w:val="both"/>
        <w:rPr>
          <w:rFonts w:ascii="Arial" w:hAnsi="Arial" w:cs="Arial"/>
          <w:b/>
          <w:sz w:val="24"/>
          <w:szCs w:val="24"/>
        </w:rPr>
      </w:pPr>
      <w:r w:rsidRPr="00BE3B5B">
        <w:rPr>
          <w:rFonts w:ascii="Arial" w:hAnsi="Arial" w:cs="Arial"/>
          <w:b/>
          <w:sz w:val="24"/>
          <w:szCs w:val="24"/>
        </w:rPr>
        <w:t>External auditor</w:t>
      </w:r>
    </w:p>
    <w:p w14:paraId="20416C48" w14:textId="77777777" w:rsidR="00BE3B5B" w:rsidRDefault="00BE3B5B" w:rsidP="00BE3B5B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1247ECB6" w14:textId="403D22F8" w:rsidR="00883A37" w:rsidRPr="00BE3B5B" w:rsidRDefault="007838BF" w:rsidP="00BE3B5B">
      <w:pPr>
        <w:pStyle w:val="p2"/>
        <w:jc w:val="both"/>
        <w:rPr>
          <w:rFonts w:ascii="Arial" w:hAnsi="Arial" w:cs="Arial"/>
          <w:sz w:val="24"/>
          <w:szCs w:val="24"/>
        </w:rPr>
      </w:pPr>
      <w:r w:rsidRPr="00BE3B5B">
        <w:rPr>
          <w:rFonts w:ascii="Arial" w:hAnsi="Arial" w:cs="Arial"/>
          <w:sz w:val="24"/>
          <w:szCs w:val="24"/>
        </w:rPr>
        <w:t>PricewaterhouseCoopers is the external auditor appointed in accordance with section 90(6) of the Companies Act of</w:t>
      </w:r>
      <w:r w:rsidR="00BE3B5B">
        <w:rPr>
          <w:rFonts w:ascii="Arial" w:hAnsi="Arial" w:cs="Arial"/>
          <w:sz w:val="24"/>
          <w:szCs w:val="24"/>
        </w:rPr>
        <w:t xml:space="preserve"> </w:t>
      </w:r>
      <w:r w:rsidRPr="00BE3B5B">
        <w:rPr>
          <w:rFonts w:ascii="Arial" w:hAnsi="Arial" w:cs="Arial"/>
          <w:sz w:val="24"/>
          <w:szCs w:val="24"/>
        </w:rPr>
        <w:t xml:space="preserve">South Africa. </w:t>
      </w:r>
      <w:proofErr w:type="spellStart"/>
      <w:r w:rsidR="00BE3B5B">
        <w:rPr>
          <w:rFonts w:ascii="Arial" w:hAnsi="Arial" w:cs="Arial"/>
          <w:sz w:val="24"/>
          <w:szCs w:val="24"/>
        </w:rPr>
        <w:t>Viresh</w:t>
      </w:r>
      <w:proofErr w:type="spellEnd"/>
      <w:r w:rsidR="00BE3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B5B">
        <w:rPr>
          <w:rFonts w:ascii="Arial" w:hAnsi="Arial" w:cs="Arial"/>
          <w:sz w:val="24"/>
          <w:szCs w:val="24"/>
        </w:rPr>
        <w:t>Harri</w:t>
      </w:r>
      <w:proofErr w:type="spellEnd"/>
      <w:r w:rsidRPr="00BE3B5B">
        <w:rPr>
          <w:rFonts w:ascii="Arial" w:hAnsi="Arial" w:cs="Arial"/>
          <w:sz w:val="24"/>
          <w:szCs w:val="24"/>
        </w:rPr>
        <w:t xml:space="preserve"> is the audit partner for 2019 financial year.</w:t>
      </w:r>
    </w:p>
    <w:sectPr w:rsidR="00883A37" w:rsidRPr="00BE3B5B" w:rsidSect="00BE3B5B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BF"/>
    <w:rsid w:val="007838BF"/>
    <w:rsid w:val="008114C4"/>
    <w:rsid w:val="008B5008"/>
    <w:rsid w:val="00A87903"/>
    <w:rsid w:val="00B76E1E"/>
    <w:rsid w:val="00B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90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838BF"/>
    <w:rPr>
      <w:rFonts w:ascii="Helvetica" w:hAnsi="Helvetica" w:cs="Times New Roman"/>
    </w:rPr>
  </w:style>
  <w:style w:type="paragraph" w:customStyle="1" w:styleId="p2">
    <w:name w:val="p2"/>
    <w:basedOn w:val="Normal"/>
    <w:rsid w:val="007838BF"/>
    <w:rPr>
      <w:rFonts w:ascii="Helvetica" w:hAnsi="Helvetica" w:cs="Times New Roman"/>
      <w:sz w:val="17"/>
      <w:szCs w:val="17"/>
    </w:rPr>
  </w:style>
  <w:style w:type="paragraph" w:customStyle="1" w:styleId="p3">
    <w:name w:val="p3"/>
    <w:basedOn w:val="Normal"/>
    <w:rsid w:val="007838BF"/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7838BF"/>
    <w:rPr>
      <w:rFonts w:ascii="Helvetica" w:hAnsi="Helvetica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Lurica Klink</dc:creator>
  <cp:keywords/>
  <dc:description/>
  <cp:lastModifiedBy>Lurica Klink</cp:lastModifiedBy>
  <cp:revision>2</cp:revision>
  <dcterms:created xsi:type="dcterms:W3CDTF">2018-11-20T11:02:00Z</dcterms:created>
  <dcterms:modified xsi:type="dcterms:W3CDTF">2018-11-20T11:16:00Z</dcterms:modified>
</cp:coreProperties>
</file>